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C099" w14:textId="0D3D91BF" w:rsidR="005553A3" w:rsidRDefault="002538BA" w:rsidP="005553A3">
      <w:pPr>
        <w:jc w:val="center"/>
      </w:pPr>
      <w:r>
        <w:rPr>
          <w:b/>
          <w:bCs/>
        </w:rPr>
        <w:t>Tammemäe IX g</w:t>
      </w:r>
      <w:r w:rsidR="005553A3" w:rsidRPr="005553A3">
        <w:rPr>
          <w:b/>
          <w:bCs/>
        </w:rPr>
        <w:t>eoloogilise uuringu loa menetluse algatamise teade</w:t>
      </w:r>
    </w:p>
    <w:p w14:paraId="20606B73" w14:textId="2B260698" w:rsidR="005553A3" w:rsidRDefault="005553A3" w:rsidP="005553A3">
      <w:pPr>
        <w:jc w:val="both"/>
      </w:pPr>
      <w:r w:rsidRPr="005553A3">
        <w:t xml:space="preserve">Keskkonnaamet teatab, et AS </w:t>
      </w:r>
      <w:proofErr w:type="spellStart"/>
      <w:r w:rsidRPr="005553A3">
        <w:t>Tariston</w:t>
      </w:r>
      <w:proofErr w:type="spellEnd"/>
      <w:r w:rsidRPr="005553A3">
        <w:t xml:space="preserve"> (registrikood: </w:t>
      </w:r>
      <w:hyperlink r:id="rId4" w:tgtFrame="_blank" w:history="1">
        <w:r w:rsidRPr="005553A3">
          <w:rPr>
            <w:rStyle w:val="Hperlink"/>
          </w:rPr>
          <w:t>10887843</w:t>
        </w:r>
      </w:hyperlink>
      <w:r w:rsidRPr="005553A3">
        <w:t>) (aadress Toompuiestee 35, Põhja-Tallinna linnaosa, Tallinn, Harju maakond, 10149) 23.12.2024 esitatud Tammemäe IX uuringuruumi geoloogilise uuringu loa taotlus (registreeritud keskkonnaotsuste infosüsteemis</w:t>
      </w:r>
      <w:r>
        <w:t xml:space="preserve"> </w:t>
      </w:r>
      <w:r w:rsidRPr="005553A3">
        <w:t>KOTKAS 23.12.2024 dokumendina nr DM-130570-1) on menetlusse võetud.</w:t>
      </w:r>
    </w:p>
    <w:p w14:paraId="2242B2D4" w14:textId="77777777" w:rsidR="005553A3" w:rsidRDefault="005553A3" w:rsidP="005553A3">
      <w:pPr>
        <w:jc w:val="both"/>
      </w:pPr>
      <w:r w:rsidRPr="005553A3">
        <w:br/>
        <w:t>Geoloogilise uuringu luba taotletakse Harju maakonnas Saku vallas Männiku külas riigile kuuluvatel kinnistutel Viimsi metskond 144 (katastritunnus 71801:001:1271, sihtotstarve maatulundusmaa 100 %) ja Viimsi metskond 13 (katastritunnus 71801:001:1259, maatutulundusmaa 100 %), mille riigivara valitseja on Kliimaministeerium ja volitatud asutus Riigimetsa Majandamise Keskus.</w:t>
      </w:r>
    </w:p>
    <w:p w14:paraId="0BFC2EE6" w14:textId="77777777" w:rsidR="005553A3" w:rsidRDefault="005553A3" w:rsidP="005553A3">
      <w:pPr>
        <w:jc w:val="both"/>
      </w:pPr>
      <w:r w:rsidRPr="005553A3">
        <w:br/>
        <w:t>Taotletav uuringuruumi teenindusala pindala on 11,57 ha. Geoloogilise uuringu käigus planeeritakse rajada kuni 25 uuringupuurauku ning kuni 25 uuringukaeveõõnt maksimaalse uurimissügavusega kuni 15 m. Taotletava loa kehtivusaeg on viis (5) aastat. Uuritavaks maavaraks on ehitus- ja täiteliiv.</w:t>
      </w:r>
    </w:p>
    <w:p w14:paraId="39B4D177" w14:textId="77777777" w:rsidR="005553A3" w:rsidRDefault="005553A3" w:rsidP="005553A3">
      <w:pPr>
        <w:jc w:val="both"/>
      </w:pPr>
      <w:r w:rsidRPr="005553A3">
        <w:br/>
        <w:t>Taotletava uuringuruumi teenindusala kattub osaliselt maavarade registris arvel oleva Tallinna-Saku liivamaardla (maavarade registri registrikaart nr 109) ehitusliiva passiivse reservvaru 68 ja 70 plokkidega, Saku turbamaardla (maavarade registri registrikaart nr 513) hästilagunenud turba aktiivse reservvaru 3 plokiga ja vähelagunenud turba aktiivse reservvaru 4 plokiga.</w:t>
      </w:r>
    </w:p>
    <w:p w14:paraId="79814E6F" w14:textId="77777777" w:rsidR="005553A3" w:rsidRDefault="005553A3" w:rsidP="005553A3">
      <w:pPr>
        <w:jc w:val="both"/>
      </w:pPr>
      <w:r w:rsidRPr="005553A3">
        <w:br/>
        <w:t>Geoloogilise uuringu tegemisel lähtutakse keskkonnaministri 17.12.2018. a määrusest nr 52 „</w:t>
      </w:r>
      <w:proofErr w:type="spellStart"/>
      <w:r w:rsidRPr="005553A3">
        <w:t>Üldgeoloogilise</w:t>
      </w:r>
      <w:proofErr w:type="spellEnd"/>
      <w:r w:rsidRPr="005553A3">
        <w:t xml:space="preserve"> uurimistöö ning maavara geoloogilise uuringu kord ja nõuded ning nõuded fosforiidi, metallitoorme, põlevkivi, aluskorra ehituskivi, järvelubja, järvemuda, meremuda, kruusa, liiva, lubjakivi, </w:t>
      </w:r>
      <w:proofErr w:type="spellStart"/>
      <w:r w:rsidRPr="005553A3">
        <w:t>dolokivi</w:t>
      </w:r>
      <w:proofErr w:type="spellEnd"/>
      <w:r w:rsidRPr="005553A3">
        <w:t xml:space="preserve">, savi ja turba omaduste kohta maavarana </w:t>
      </w:r>
      <w:proofErr w:type="spellStart"/>
      <w:r w:rsidRPr="005553A3">
        <w:t>arvelevõtmiseks</w:t>
      </w:r>
      <w:proofErr w:type="spellEnd"/>
      <w:r w:rsidRPr="005553A3">
        <w:t>“.</w:t>
      </w:r>
      <w:r w:rsidRPr="005553A3">
        <w:br/>
      </w:r>
      <w:r w:rsidRPr="005553A3">
        <w:br/>
        <w:t>Planeeritavates uuringupunktides määratakse kasuliku kihi paksus, kirjeldatakse maavara ja selle lamami setteid. Kogu kasuliku kihi ulatuses võetakse proovid litoloogiliste erimite kaupa laboratoorseteks määranguteks. Mõõdetakse veetase uuringupunktides. Uuringu teostab Inseneribüroo STEIGER OÜ.</w:t>
      </w:r>
    </w:p>
    <w:p w14:paraId="085BF4F3" w14:textId="637C60F9" w:rsidR="00A22780" w:rsidRDefault="005553A3" w:rsidP="005553A3">
      <w:pPr>
        <w:jc w:val="both"/>
      </w:pPr>
      <w:r w:rsidRPr="005553A3">
        <w:br/>
        <w:t xml:space="preserve">Uuringuala kohta koostatakse instrumentaalmõõdistamise alusel topograafiline plaan. </w:t>
      </w:r>
      <w:proofErr w:type="spellStart"/>
      <w:r w:rsidRPr="005553A3">
        <w:t>Kameraaltööde</w:t>
      </w:r>
      <w:proofErr w:type="spellEnd"/>
      <w:r w:rsidRPr="005553A3">
        <w:t xml:space="preserve"> käigus analüüsitakse saadud andmestikku (sh laboritulemused) ja koostatakse aruanne varu arvele võtmiseks maavarade registris. Kui geoloogilise uuringu </w:t>
      </w:r>
      <w:r w:rsidRPr="005553A3">
        <w:lastRenderedPageBreak/>
        <w:t>tulemusel kinnitatakse alal maavara aktiivne tarbevaru, soovitakse taotleda sinna kaevandamisõigust.</w:t>
      </w:r>
      <w:r w:rsidRPr="005553A3">
        <w:br/>
      </w:r>
      <w:r w:rsidRPr="005553A3">
        <w:br/>
        <w:t>Geoloogilise uuringu loa taotluse ja muude asjassepuutuvate dokumentidega on võimalik tutvuda </w:t>
      </w:r>
      <w:hyperlink r:id="rId5" w:tgtFrame="_blank" w:history="1">
        <w:r w:rsidRPr="005553A3">
          <w:rPr>
            <w:rStyle w:val="Hperlink"/>
          </w:rPr>
          <w:t>https://kotkas.envir.ee/menetlus/M-130570</w:t>
        </w:r>
      </w:hyperlink>
      <w:r>
        <w:t xml:space="preserve"> </w:t>
      </w:r>
      <w:r w:rsidRPr="005553A3">
        <w:t>Taotlus on digitaalselt kättesaadav </w:t>
      </w:r>
      <w:hyperlink r:id="rId6" w:tgtFrame="_blank" w:history="1">
        <w:r w:rsidRPr="005553A3">
          <w:rPr>
            <w:rStyle w:val="Hperlink"/>
          </w:rPr>
          <w:t>https://kotkas.envir.ee/dokument/DM-130570-1</w:t>
        </w:r>
      </w:hyperlink>
      <w:r w:rsidRPr="005553A3">
        <w:br/>
      </w:r>
      <w:r w:rsidRPr="005553A3">
        <w:br/>
        <w:t>Kuni geoloogilise uuringu loa andmise või andmisest keeldumise otsuse tegemiseni on igaühel õigus esitada Keskkonnaametile põhjendatud ettepanekuid ja</w:t>
      </w:r>
      <w:r>
        <w:t xml:space="preserve"> </w:t>
      </w:r>
      <w:r w:rsidRPr="005553A3">
        <w:t>vastuväiteid.  Ettepanekuid ja vastuväiteid võib esitada suuliselt või kirjalikult e-posti aadressile info@keskkonnaamet.ee või postiaadressile Roheline 64, 80010 Pärnu.</w:t>
      </w:r>
    </w:p>
    <w:sectPr w:rsidR="00A22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A3"/>
    <w:rsid w:val="002441A6"/>
    <w:rsid w:val="002538BA"/>
    <w:rsid w:val="005553A3"/>
    <w:rsid w:val="00A22780"/>
    <w:rsid w:val="00D561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22E3"/>
  <w15:chartTrackingRefBased/>
  <w15:docId w15:val="{7A91D467-28A3-4935-ACD3-9364E9DF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55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55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553A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553A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553A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553A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553A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553A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553A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553A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553A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553A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553A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553A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553A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553A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553A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553A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55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553A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553A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553A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553A3"/>
    <w:pPr>
      <w:spacing w:before="160"/>
      <w:jc w:val="center"/>
    </w:pPr>
    <w:rPr>
      <w:i/>
      <w:iCs/>
      <w:color w:val="404040" w:themeColor="text1" w:themeTint="BF"/>
    </w:rPr>
  </w:style>
  <w:style w:type="character" w:customStyle="1" w:styleId="TsitaatMrk">
    <w:name w:val="Tsitaat Märk"/>
    <w:basedOn w:val="Liguvaikefont"/>
    <w:link w:val="Tsitaat"/>
    <w:uiPriority w:val="29"/>
    <w:rsid w:val="005553A3"/>
    <w:rPr>
      <w:i/>
      <w:iCs/>
      <w:color w:val="404040" w:themeColor="text1" w:themeTint="BF"/>
    </w:rPr>
  </w:style>
  <w:style w:type="paragraph" w:styleId="Loendilik">
    <w:name w:val="List Paragraph"/>
    <w:basedOn w:val="Normaallaad"/>
    <w:uiPriority w:val="34"/>
    <w:qFormat/>
    <w:rsid w:val="005553A3"/>
    <w:pPr>
      <w:ind w:left="720"/>
      <w:contextualSpacing/>
    </w:pPr>
  </w:style>
  <w:style w:type="character" w:styleId="Selgeltmrgatavrhutus">
    <w:name w:val="Intense Emphasis"/>
    <w:basedOn w:val="Liguvaikefont"/>
    <w:uiPriority w:val="21"/>
    <w:qFormat/>
    <w:rsid w:val="005553A3"/>
    <w:rPr>
      <w:i/>
      <w:iCs/>
      <w:color w:val="0F4761" w:themeColor="accent1" w:themeShade="BF"/>
    </w:rPr>
  </w:style>
  <w:style w:type="paragraph" w:styleId="Selgeltmrgatavtsitaat">
    <w:name w:val="Intense Quote"/>
    <w:basedOn w:val="Normaallaad"/>
    <w:next w:val="Normaallaad"/>
    <w:link w:val="SelgeltmrgatavtsitaatMrk"/>
    <w:uiPriority w:val="30"/>
    <w:qFormat/>
    <w:rsid w:val="00555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553A3"/>
    <w:rPr>
      <w:i/>
      <w:iCs/>
      <w:color w:val="0F4761" w:themeColor="accent1" w:themeShade="BF"/>
    </w:rPr>
  </w:style>
  <w:style w:type="character" w:styleId="Selgeltmrgatavviide">
    <w:name w:val="Intense Reference"/>
    <w:basedOn w:val="Liguvaikefont"/>
    <w:uiPriority w:val="32"/>
    <w:qFormat/>
    <w:rsid w:val="005553A3"/>
    <w:rPr>
      <w:b/>
      <w:bCs/>
      <w:smallCaps/>
      <w:color w:val="0F4761" w:themeColor="accent1" w:themeShade="BF"/>
      <w:spacing w:val="5"/>
    </w:rPr>
  </w:style>
  <w:style w:type="character" w:styleId="Hperlink">
    <w:name w:val="Hyperlink"/>
    <w:basedOn w:val="Liguvaikefont"/>
    <w:uiPriority w:val="99"/>
    <w:unhideWhenUsed/>
    <w:rsid w:val="005553A3"/>
    <w:rPr>
      <w:color w:val="467886" w:themeColor="hyperlink"/>
      <w:u w:val="single"/>
    </w:rPr>
  </w:style>
  <w:style w:type="character" w:styleId="Lahendamatamainimine">
    <w:name w:val="Unresolved Mention"/>
    <w:basedOn w:val="Liguvaikefont"/>
    <w:uiPriority w:val="99"/>
    <w:semiHidden/>
    <w:unhideWhenUsed/>
    <w:rsid w:val="00555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tkas.envir.ee/dokument/DM-130570-1" TargetMode="External"/><Relationship Id="rId5" Type="http://schemas.openxmlformats.org/officeDocument/2006/relationships/hyperlink" Target="https://kotkas.envir.ee/menetlus/M-130570" TargetMode="External"/><Relationship Id="rId4" Type="http://schemas.openxmlformats.org/officeDocument/2006/relationships/hyperlink" Target="https://ariregister.rik.ee/ettevotja.py?ark=1088784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2751</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Maigi Tenisson</dc:creator>
  <cp:keywords/>
  <dc:description/>
  <cp:lastModifiedBy>Maigi Tenisson</cp:lastModifiedBy>
  <cp:revision>2</cp:revision>
  <dcterms:created xsi:type="dcterms:W3CDTF">2025-03-13T07:07:00Z</dcterms:created>
  <dcterms:modified xsi:type="dcterms:W3CDTF">2025-03-13T07:10:00Z</dcterms:modified>
</cp:coreProperties>
</file>